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20"/>
      </w:pPr>
      <w:r>
        <w:t>Pravidla pro aplikace, které si lidé ve firmě staví s AI</w:t>
      </w:r>
    </w:p>
    <w:p>
      <w:pPr>
        <w:spacing w:after="280" w:before="0"/>
      </w:pPr>
      <w:r>
        <w:rPr>
          <w:b w:val="0"/>
          <w:i w:val="0"/>
          <w:color w:val="4A4C52"/>
          <w:sz w:val="19"/>
          <w:shd w:val="clear" w:color="auto" w:fill="E6E1F5"/>
        </w:rPr>
        <w:t>[Název firmy]</w:t>
      </w:r>
      <w:r>
        <w:rPr>
          <w:b w:val="0"/>
          <w:i w:val="0"/>
          <w:color w:val="4A4C52"/>
          <w:sz w:val="19"/>
        </w:rPr>
        <w:t xml:space="preserve"> · verze </w:t>
      </w:r>
      <w:r>
        <w:rPr>
          <w:b w:val="0"/>
          <w:i w:val="0"/>
          <w:color w:val="4A4C52"/>
          <w:sz w:val="19"/>
          <w:shd w:val="clear" w:color="auto" w:fill="E6E1F5"/>
        </w:rPr>
        <w:t>[1.0]</w:t>
      </w:r>
      <w:r>
        <w:rPr>
          <w:b w:val="0"/>
          <w:i w:val="0"/>
          <w:color w:val="4A4C52"/>
          <w:sz w:val="19"/>
        </w:rPr>
        <w:t xml:space="preserve"> · platí od </w:t>
      </w:r>
      <w:r>
        <w:rPr>
          <w:b w:val="0"/>
          <w:i w:val="0"/>
          <w:color w:val="4A4C52"/>
          <w:sz w:val="19"/>
          <w:shd w:val="clear" w:color="auto" w:fill="E6E1F5"/>
        </w:rPr>
        <w:t>[datum]</w:t>
      </w:r>
      <w:r>
        <w:rPr>
          <w:b w:val="0"/>
          <w:i w:val="0"/>
          <w:color w:val="4A4C52"/>
          <w:sz w:val="19"/>
        </w:rPr>
        <w:t xml:space="preserve"> · schválil(a) </w:t>
      </w:r>
      <w:r>
        <w:rPr>
          <w:b w:val="0"/>
          <w:i w:val="0"/>
          <w:color w:val="4A4C52"/>
          <w:sz w:val="19"/>
          <w:shd w:val="clear" w:color="auto" w:fill="E6E1F5"/>
        </w:rPr>
        <w:t>[jméno, funkce]</w:t>
      </w:r>
    </w:p>
    <w:tbl>
      <w:tblPr>
        <w:tblW w:type="dxa" w:w="9412"/>
        <w:jc w:val="center"/>
        <w:tblLook w:firstColumn="1" w:firstRow="1" w:lastColumn="0" w:lastRow="0" w:noHBand="0" w:noVBand="1" w:val="04A0"/>
        <w:tblLayout w:type="fixed"/>
        <w:tblCellMar>
          <w:top w:w="140" w:type="dxa"/>
          <w:left w:w="200" w:type="dxa"/>
          <w:bottom w:w="140" w:type="dxa"/>
          <w:right w:w="200" w:type="dxa"/>
        </w:tblCellMar>
        <w:tblLayout w:type="fixed"/>
      </w:tblPr>
      <w:tblGrid>
        <w:gridCol w:w="9411"/>
      </w:tblGrid>
      <w:tr>
        <w:tc>
          <w:tcPr>
            <w:tcW w:type="dxa" w:w="9411"/>
            <w:shd w:val="clear" w:color="auto" w:fill="F2F1EE"/>
          </w:tcPr>
          <w:p>
            <w:pPr>
              <w:spacing w:after="80"/>
            </w:pPr>
            <w:r>
              <w:rPr>
                <w:b/>
                <w:i w:val="0"/>
                <w:sz w:val="20"/>
              </w:rPr>
              <w:t>Jak s tímto vzorem pracovat (před vydáním smažte)</w:t>
            </w:r>
          </w:p>
          <w:p>
            <w:pPr>
              <w:pStyle w:val="ListBullet"/>
              <w:spacing w:after="60"/>
            </w:pPr>
            <w:r>
              <w:rPr>
                <w:b w:val="0"/>
                <w:i w:val="0"/>
                <w:color w:val="4A4C52"/>
                <w:sz w:val="19"/>
              </w:rPr>
              <w:t>Jde o vzor k úpravě, ne o právní radu. Nenahrazuje posouzení právníkem ani bezpečnostním manažerem.</w:t>
            </w:r>
          </w:p>
          <w:p>
            <w:pPr>
              <w:pStyle w:val="ListBullet"/>
              <w:spacing w:after="60"/>
            </w:pPr>
            <w:r>
              <w:rPr>
                <w:b w:val="0"/>
                <w:i w:val="0"/>
                <w:color w:val="4A4C52"/>
                <w:sz w:val="19"/>
              </w:rPr>
              <w:t xml:space="preserve">Text v </w:t>
            </w:r>
            <w:r>
              <w:rPr>
                <w:b w:val="0"/>
                <w:i w:val="0"/>
                <w:color w:val="4A4C52"/>
                <w:sz w:val="19"/>
                <w:shd w:val="clear" w:color="auto" w:fill="E6E1F5"/>
              </w:rPr>
              <w:t>[hranatých závorkách]</w:t>
            </w:r>
            <w:r>
              <w:rPr>
                <w:b w:val="0"/>
                <w:i w:val="0"/>
                <w:color w:val="4A4C52"/>
                <w:sz w:val="19"/>
              </w:rPr>
              <w:t xml:space="preserve"> nahraďte svými údaji. Body, které se vás netýkají, vyškrtněte, a co vám chybí, doplňte.</w:t>
            </w:r>
          </w:p>
          <w:p>
            <w:pPr>
              <w:pStyle w:val="ListBullet"/>
              <w:spacing w:after="60"/>
            </w:pPr>
            <w:r>
              <w:rPr>
                <w:b w:val="0"/>
                <w:i w:val="0"/>
                <w:color w:val="4A4C52"/>
                <w:sz w:val="19"/>
              </w:rPr>
              <w:t>Pravidla jsou napsaná tak, aby šla použít s jakýmkoli nástrojem a hostingem.</w:t>
            </w:r>
          </w:p>
          <w:p>
            <w:pPr>
              <w:pStyle w:val="ListBullet"/>
              <w:spacing w:after="60"/>
            </w:pPr>
            <w:r>
              <w:rPr>
                <w:b w:val="0"/>
                <w:i w:val="0"/>
                <w:color w:val="4A4C52"/>
                <w:sz w:val="19"/>
              </w:rPr>
              <w:t>Než pravidla vydáte, projděte je s lidmi, kteří aplikace staví. Pravidlo, které nejde dodržet, lidé obejdou.</w:t>
            </w:r>
          </w:p>
          <w:p>
            <w:pPr>
              <w:pStyle w:val="ListBullet"/>
              <w:spacing w:after="60"/>
            </w:pPr>
            <w:r>
              <w:rPr>
                <w:b w:val="0"/>
                <w:i w:val="0"/>
                <w:color w:val="4A4C52"/>
                <w:sz w:val="19"/>
              </w:rPr>
              <w:t>Pokud spadáte pod zákon o kybernetické bezpečnosti nebo zpracováváte citlivé osobní údaje, projděte konečné znění s právníkem.</w:t>
            </w:r>
          </w:p>
        </w:tc>
      </w:tr>
    </w:tbl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1. Proč tato pravidla máme</w:t>
      </w:r>
    </w:p>
    <w:p>
      <w:pPr>
        <w:spacing w:after="120" w:before="0"/>
      </w:pPr>
      <w:r>
        <w:rPr>
          <w:b w:val="0"/>
          <w:i w:val="0"/>
        </w:rPr>
        <w:t xml:space="preserve">Lidé v </w:t>
      </w:r>
      <w:r>
        <w:rPr>
          <w:b w:val="0"/>
          <w:i w:val="0"/>
          <w:shd w:val="clear" w:color="auto" w:fill="E6E1F5"/>
        </w:rPr>
        <w:t>[Název firmy]</w:t>
      </w:r>
      <w:r>
        <w:rPr>
          <w:b w:val="0"/>
          <w:i w:val="0"/>
        </w:rPr>
        <w:t xml:space="preserve"> si s pomocí AI staví aplikace, nástroje a automatizace, které jim ušetří práci. To chceme podporovat. Zároveň chceme vědět, co ve firmě běží, jaká data to používá a kdo se o to postará, když autor odejde nebo se něco pokazí.</w:t>
      </w:r>
    </w:p>
    <w:p>
      <w:pPr>
        <w:spacing w:after="120" w:before="0"/>
      </w:pPr>
      <w:r>
        <w:rPr>
          <w:b w:val="0"/>
          <w:i w:val="0"/>
        </w:rPr>
        <w:t>Pravidla proto stavění nezakazují. Určují, co musí aplikace splnit podle toho, jaké riziko nese.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2. Na co se pravidla vztahují</w:t>
      </w:r>
    </w:p>
    <w:p>
      <w:pPr>
        <w:spacing w:after="80"/>
      </w:pPr>
      <w:r>
        <w:rPr>
          <w:b/>
          <w:i w:val="0"/>
        </w:rPr>
        <w:t xml:space="preserve">2.1 </w:t>
      </w:r>
      <w:r>
        <w:rPr>
          <w:b w:val="0"/>
          <w:i w:val="0"/>
        </w:rPr>
        <w:t xml:space="preserve">Na aplikace, nástroje, skripty a automatizace, které si zaměstnanci nebo externisté </w:t>
      </w:r>
      <w:r>
        <w:rPr>
          <w:b w:val="0"/>
          <w:i w:val="0"/>
          <w:shd w:val="clear" w:color="auto" w:fill="E6E1F5"/>
        </w:rPr>
        <w:t>[Název firmy]</w:t>
      </w:r>
      <w:r>
        <w:rPr>
          <w:b w:val="0"/>
          <w:i w:val="0"/>
        </w:rPr>
        <w:t xml:space="preserve"> postaví sami, s pomocí AI nebo bez ní, například v nástrojích </w:t>
      </w:r>
      <w:r>
        <w:rPr>
          <w:b w:val="0"/>
          <w:i w:val="0"/>
          <w:shd w:val="clear" w:color="auto" w:fill="E6E1F5"/>
        </w:rPr>
        <w:t>[Lovable, Cursor, Claude Code, Replit, ChatGPT, Power Apps, Excel s makry]</w:t>
      </w:r>
      <w:r>
        <w:rPr>
          <w:b w:val="0"/>
          <w:i w:val="0"/>
        </w:rPr>
        <w:t>. Dál jen „aplikace“.</w:t>
      </w:r>
    </w:p>
    <w:p>
      <w:pPr>
        <w:spacing w:after="80"/>
      </w:pPr>
      <w:r>
        <w:rPr>
          <w:b/>
          <w:i w:val="0"/>
        </w:rPr>
        <w:t xml:space="preserve">2.2 </w:t>
      </w:r>
      <w:r>
        <w:rPr>
          <w:b w:val="0"/>
          <w:i w:val="0"/>
        </w:rPr>
        <w:t xml:space="preserve">Nevztahují se na běžné používání AI chatu, to upravuje </w:t>
      </w:r>
      <w:r>
        <w:rPr>
          <w:b w:val="0"/>
          <w:i w:val="0"/>
          <w:shd w:val="clear" w:color="auto" w:fill="E6E1F5"/>
        </w:rPr>
        <w:t>[název směrnice o používání AI]</w:t>
      </w:r>
      <w:r>
        <w:rPr>
          <w:b w:val="0"/>
          <w:i w:val="0"/>
        </w:rPr>
        <w:t xml:space="preserve">, ani na software, který firma kupuje od dodavatele, to upravuje </w:t>
      </w:r>
      <w:r>
        <w:rPr>
          <w:b w:val="0"/>
          <w:i w:val="0"/>
          <w:shd w:val="clear" w:color="auto" w:fill="E6E1F5"/>
        </w:rPr>
        <w:t>[nákupní proces]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2.3 </w:t>
      </w:r>
      <w:r>
        <w:rPr>
          <w:b w:val="0"/>
          <w:i w:val="0"/>
        </w:rPr>
        <w:t xml:space="preserve">Kdo si není jistý, jestli se pravidla na jeho aplikaci vztahují, zeptá se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3. Kdo za co odpovídá</w:t>
      </w:r>
    </w:p>
    <w:p>
      <w:pPr>
        <w:pStyle w:val="ListBullet"/>
        <w:spacing w:after="60"/>
      </w:pPr>
      <w:r>
        <w:rPr>
          <w:b/>
          <w:i w:val="0"/>
        </w:rPr>
        <w:t xml:space="preserve">Autor: </w:t>
      </w:r>
      <w:r>
        <w:rPr>
          <w:b w:val="0"/>
          <w:i w:val="0"/>
        </w:rPr>
        <w:t>kdo aplikaci postavil nebo ji upravuje.</w:t>
      </w:r>
    </w:p>
    <w:p>
      <w:pPr>
        <w:pStyle w:val="ListBullet"/>
        <w:spacing w:after="60"/>
      </w:pPr>
      <w:r>
        <w:rPr>
          <w:b/>
          <w:i w:val="0"/>
        </w:rPr>
        <w:t xml:space="preserve">Vlastník aplikace: </w:t>
      </w:r>
      <w:r>
        <w:rPr>
          <w:b w:val="0"/>
          <w:i w:val="0"/>
        </w:rPr>
        <w:t>vedoucí zaměstnanec, který za aplikaci odpovídá za firmu, rozhoduje o jejím rozvoji a o tom, kdo k ní má přístup. Obvykle vedoucí oddělení, které ji používá. U aplikací úrovně 2 a 3 nemá být vlastníkem sám autor.</w:t>
      </w:r>
    </w:p>
    <w:p>
      <w:pPr>
        <w:pStyle w:val="ListBullet"/>
        <w:spacing w:after="60"/>
      </w:pPr>
      <w:r>
        <w:rPr>
          <w:b/>
          <w:i w:val="0"/>
        </w:rPr>
        <w:t xml:space="preserve">Správce pravidel: </w:t>
      </w:r>
      <w:r>
        <w:rPr>
          <w:b w:val="0"/>
          <w:i w:val="0"/>
          <w:shd w:val="clear" w:color="auto" w:fill="E6E1F5"/>
        </w:rPr>
        <w:t>[IT / osoba pověřená kybernetickou bezpečností / jméno]</w:t>
      </w:r>
      <w:r>
        <w:rPr>
          <w:b w:val="0"/>
          <w:i w:val="0"/>
        </w:rPr>
        <w:t>. Vede evidenci aplikací, schvaluje spuštění a výjimky a pravidla aktualizuje.</w:t>
      </w:r>
    </w:p>
    <w:p>
      <w:pPr>
        <w:pStyle w:val="ListBullet"/>
        <w:spacing w:after="60"/>
      </w:pPr>
      <w:r>
        <w:rPr>
          <w:b/>
          <w:i w:val="0"/>
          <w:shd w:val="clear" w:color="auto" w:fill="E6E1F5"/>
        </w:rPr>
        <w:t>[Pověřenec pro ochranu osobních údajů nebo jiná odpovědná osoba]</w:t>
      </w:r>
      <w:r>
        <w:rPr>
          <w:b/>
          <w:i w:val="0"/>
        </w:rPr>
        <w:t xml:space="preserve">: </w:t>
      </w:r>
      <w:r>
        <w:rPr>
          <w:b w:val="0"/>
          <w:i w:val="0"/>
        </w:rPr>
        <w:t>posuzuje aplikace s osobními údaji.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4. Tři úrovně podle rizika</w:t>
      </w:r>
    </w:p>
    <w:p>
      <w:pPr>
        <w:spacing w:after="120" w:before="0"/>
      </w:pPr>
      <w:r>
        <w:rPr>
          <w:b w:val="0"/>
          <w:i w:val="0"/>
        </w:rPr>
        <w:t>Čím víc lidí aplikaci používá a čím citlivější data drží, tím víc pravidel pro ni platí.</w:t>
      </w:r>
    </w:p>
    <w:tbl>
      <w:tblPr>
        <w:tblW w:type="dxa" w:w="9412"/>
        <w:tblLook w:firstColumn="1" w:firstRow="1" w:lastColumn="0" w:lastRow="0" w:noHBand="0" w:noVBand="1" w:val="04A0"/>
        <w:tblBorders>
          <w:top w:val="single" w:sz="4" w:space="0" w:color="C9C8C4"/>
          <w:left w:val="single" w:sz="4" w:space="0" w:color="C9C8C4"/>
          <w:bottom w:val="single" w:sz="4" w:space="0" w:color="C9C8C4"/>
          <w:right w:val="single" w:sz="4" w:space="0" w:color="C9C8C4"/>
          <w:insideH w:val="single" w:sz="4" w:space="0" w:color="C9C8C4"/>
          <w:insideV w:val="single" w:sz="4" w:space="0" w:color="C9C8C4"/>
        </w:tblBorders>
        <w:tblLayout w:type="fixed"/>
        <w:tblCellMar>
          <w:top w:w="80" w:type="dxa"/>
          <w:left w:w="100" w:type="dxa"/>
          <w:bottom w:w="80" w:type="dxa"/>
          <w:right w:w="100" w:type="dxa"/>
        </w:tblCellMar>
        <w:tblLayout w:type="fixed"/>
      </w:tblPr>
      <w:tblGrid>
        <w:gridCol w:w="1814"/>
        <w:gridCol w:w="3798"/>
        <w:gridCol w:w="3798"/>
      </w:tblGrid>
      <w:tr>
        <w:tc>
          <w:tcPr>
            <w:tcW w:type="dxa" w:w="1814"/>
            <w:shd w:val="clear" w:color="auto" w:fill="F2F1EE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Úroveň</w:t>
            </w:r>
          </w:p>
        </w:tc>
        <w:tc>
          <w:tcPr>
            <w:tcW w:type="dxa" w:w="3798"/>
            <w:shd w:val="clear" w:color="auto" w:fill="F2F1EE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Kdy</w:t>
            </w:r>
          </w:p>
        </w:tc>
        <w:tc>
          <w:tcPr>
            <w:tcW w:type="dxa" w:w="3798"/>
            <w:shd w:val="clear" w:color="auto" w:fill="F2F1EE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Co musí splnit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1 Osobní pomůcka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Používá ji jen autor, nepracuje s osobními údaji ani důvěrnými daty a není dostupná z internetu.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Body 5, 6 a 9. Do evidence se nezapisuje.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2 Týmová aplikace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>Používá ji víc lidí ve firmě nebo pracuje s firemními daty, včetně běžných údajů o zaměstnancích (jméno, e-mail, pracovní zařazení).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 xml:space="preserve">Body 5 až 16. Zápis do evidence a schválení </w:t>
            </w:r>
            <w:r>
              <w:rPr>
                <w:b w:val="0"/>
                <w:i w:val="0"/>
                <w:sz w:val="19"/>
                <w:shd w:val="clear" w:color="auto" w:fill="E6E1F5"/>
              </w:rPr>
              <w:t>[správcem pravidel]</w:t>
            </w:r>
            <w:r>
              <w:rPr>
                <w:b w:val="0"/>
                <w:i w:val="0"/>
                <w:sz w:val="19"/>
              </w:rPr>
              <w:t xml:space="preserve"> před tím, než ji začnou používat další lidé.</w:t>
            </w:r>
          </w:p>
        </w:tc>
      </w:tr>
      <w:tr>
        <w:tc>
          <w:tcPr>
            <w:tcW w:type="dxa" w:w="1814"/>
          </w:tcPr>
          <w:p>
            <w:pPr>
              <w:spacing w:after="0"/>
            </w:pPr>
            <w:r>
              <w:rPr>
                <w:b/>
                <w:i w:val="0"/>
                <w:sz w:val="19"/>
              </w:rPr>
              <w:t>3 Citlivá aplikace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 xml:space="preserve">Pracuje s daty zákazníků nebo obchodních partnerů, s finančními daty nebo se zvláštními kategoriemi osobních údajů (třeba zdraví), je napojená na </w:t>
            </w:r>
            <w:r>
              <w:rPr>
                <w:b w:val="0"/>
                <w:i w:val="0"/>
                <w:sz w:val="19"/>
                <w:shd w:val="clear" w:color="auto" w:fill="E6E1F5"/>
              </w:rPr>
              <w:t>[ERP, účetnictví, CRM]</w:t>
            </w:r>
            <w:r>
              <w:rPr>
                <w:b w:val="0"/>
                <w:i w:val="0"/>
                <w:sz w:val="19"/>
              </w:rPr>
              <w:t>, nebo ji používají lidé mimo firmu.</w:t>
            </w:r>
          </w:p>
        </w:tc>
        <w:tc>
          <w:tcPr>
            <w:tcW w:type="dxa" w:w="3798"/>
          </w:tcPr>
          <w:p>
            <w:pPr>
              <w:spacing w:after="0"/>
            </w:pPr>
            <w:r>
              <w:rPr>
                <w:b w:val="0"/>
                <w:i w:val="0"/>
                <w:sz w:val="19"/>
              </w:rPr>
              <w:t xml:space="preserve">Jako úroveň 2. Navíc každou změnu před nasazením zkontroluje druhý člověk, zálohy jsou domluvené a aplikaci posoudí </w:t>
            </w:r>
            <w:r>
              <w:rPr>
                <w:b w:val="0"/>
                <w:i w:val="0"/>
                <w:sz w:val="19"/>
                <w:shd w:val="clear" w:color="auto" w:fill="E6E1F5"/>
              </w:rPr>
              <w:t>[pověřenec pro ochranu osobních údajů]</w:t>
            </w:r>
            <w:r>
              <w:rPr>
                <w:b w:val="0"/>
                <w:i w:val="0"/>
                <w:sz w:val="19"/>
              </w:rPr>
              <w:t>.</w:t>
            </w:r>
          </w:p>
        </w:tc>
      </w:tr>
    </w:tbl>
    <w:p>
      <w:pPr>
        <w:spacing w:after="80" w:before="0"/>
      </w:pPr>
    </w:p>
    <w:p>
      <w:pPr>
        <w:spacing w:after="120" w:before="0"/>
      </w:pPr>
      <w:r>
        <w:rPr>
          <w:b w:val="0"/>
          <w:i w:val="0"/>
        </w:rPr>
        <w:t xml:space="preserve">Když aplikace přeroste svou úroveň (začne ji používat víc lidí nebo do ní přibudou citlivější data), autor to nahlásí </w:t>
      </w:r>
      <w:r>
        <w:rPr>
          <w:b w:val="0"/>
          <w:i w:val="0"/>
          <w:shd w:val="clear" w:color="auto" w:fill="E6E1F5"/>
        </w:rPr>
        <w:t>[správci pravidel]</w:t>
      </w:r>
      <w:r>
        <w:rPr>
          <w:b w:val="0"/>
          <w:i w:val="0"/>
        </w:rPr>
        <w:t xml:space="preserve"> a aplikace do </w:t>
      </w:r>
      <w:r>
        <w:rPr>
          <w:b w:val="0"/>
          <w:i w:val="0"/>
          <w:shd w:val="clear" w:color="auto" w:fill="E6E1F5"/>
        </w:rPr>
        <w:t>[30 dnů]</w:t>
      </w:r>
      <w:r>
        <w:rPr>
          <w:b w:val="0"/>
          <w:i w:val="0"/>
        </w:rPr>
        <w:t xml:space="preserve"> splní pravidla vyšší úrovně.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5. Nástroje a účty</w:t>
      </w:r>
    </w:p>
    <w:p>
      <w:pPr>
        <w:spacing w:after="80"/>
      </w:pPr>
      <w:r>
        <w:rPr>
          <w:b/>
          <w:i w:val="0"/>
        </w:rPr>
        <w:t xml:space="preserve">5.1 </w:t>
      </w:r>
      <w:r>
        <w:rPr>
          <w:b w:val="0"/>
          <w:i w:val="0"/>
        </w:rPr>
        <w:t xml:space="preserve">Stavět se smí v nástrojích, které schválil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: </w:t>
      </w:r>
      <w:r>
        <w:rPr>
          <w:b w:val="0"/>
          <w:i w:val="0"/>
          <w:shd w:val="clear" w:color="auto" w:fill="E6E1F5"/>
        </w:rPr>
        <w:t>[seznam nástrojů]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5.2 </w:t>
      </w:r>
      <w:r>
        <w:rPr>
          <w:b w:val="0"/>
          <w:i w:val="0"/>
        </w:rPr>
        <w:t xml:space="preserve">AI nástroje se používají přes firemní účty a tarify, ne přes soukromé.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 určí, které tarify a s jakým nastavením, například bez trénování na firemních datech.</w:t>
      </w:r>
    </w:p>
    <w:p>
      <w:pPr>
        <w:spacing w:after="80"/>
      </w:pPr>
      <w:r>
        <w:rPr>
          <w:b/>
          <w:i w:val="0"/>
        </w:rPr>
        <w:t xml:space="preserve">5.3 </w:t>
      </w:r>
      <w:r>
        <w:rPr>
          <w:b w:val="0"/>
          <w:i w:val="0"/>
        </w:rPr>
        <w:t xml:space="preserve">Účty ke službám, na kterých aplikace běží nebo ukládá data, jsou založené na firmu a </w:t>
      </w:r>
      <w:r>
        <w:rPr>
          <w:b w:val="0"/>
          <w:i w:val="0"/>
          <w:shd w:val="clear" w:color="auto" w:fill="E6E1F5"/>
        </w:rPr>
        <w:t>[firemní e-mail]</w:t>
      </w:r>
      <w:r>
        <w:rPr>
          <w:b w:val="0"/>
          <w:i w:val="0"/>
        </w:rPr>
        <w:t xml:space="preserve">, ne na soukromou osobu. Přístup k nim má kromě autora ještě aspoň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Co vznikne na soukromém účtu, firma nevidí. A když člověk odejde, odejde s ním i účet.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6. Data</w:t>
      </w:r>
    </w:p>
    <w:p>
      <w:pPr>
        <w:spacing w:after="80"/>
      </w:pPr>
      <w:r>
        <w:rPr>
          <w:b/>
          <w:i w:val="0"/>
        </w:rPr>
        <w:t xml:space="preserve">6.1 </w:t>
      </w:r>
      <w:r>
        <w:rPr>
          <w:b w:val="0"/>
          <w:i w:val="0"/>
        </w:rPr>
        <w:t xml:space="preserve">Do AI nástrojů ani do aplikací úrovně 1 se nevkládají osobní údaje, data zákazníků, finanční ani jiná důvěrná data. Za důvěrná považujeme: </w:t>
      </w:r>
      <w:r>
        <w:rPr>
          <w:b w:val="0"/>
          <w:i w:val="0"/>
          <w:shd w:val="clear" w:color="auto" w:fill="E6E1F5"/>
        </w:rPr>
        <w:t>[doplňte]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6.2 </w:t>
      </w:r>
      <w:r>
        <w:rPr>
          <w:b w:val="0"/>
          <w:i w:val="0"/>
        </w:rPr>
        <w:t>Aplikace úrovně 2 a 3 pracuje jen s daty, která pro svůj účel potřebuje. Která to jsou, je zapsané v evidenci.</w:t>
      </w:r>
    </w:p>
    <w:p>
      <w:pPr>
        <w:spacing w:after="80"/>
      </w:pPr>
      <w:r>
        <w:rPr>
          <w:b/>
          <w:i w:val="0"/>
        </w:rPr>
        <w:t xml:space="preserve">6.3 </w:t>
      </w:r>
      <w:r>
        <w:rPr>
          <w:b w:val="0"/>
          <w:i w:val="0"/>
        </w:rPr>
        <w:t>Při stavění a zkoušení se používají testovací nebo anonymizovaná data, ne ostrá data z provozu.</w:t>
      </w:r>
    </w:p>
    <w:p>
      <w:pPr>
        <w:spacing w:after="80"/>
      </w:pPr>
      <w:r>
        <w:rPr>
          <w:b/>
          <w:i w:val="0"/>
        </w:rPr>
        <w:t xml:space="preserve">6.4 </w:t>
      </w:r>
      <w:r>
        <w:rPr>
          <w:b w:val="0"/>
          <w:i w:val="0"/>
        </w:rPr>
        <w:t xml:space="preserve">Aplikaci s osobními údaji před spuštěním posoudí </w:t>
      </w:r>
      <w:r>
        <w:rPr>
          <w:b w:val="0"/>
          <w:i w:val="0"/>
          <w:shd w:val="clear" w:color="auto" w:fill="E6E1F5"/>
        </w:rPr>
        <w:t>[pověřenec pro ochranu osobních údajů]</w:t>
      </w:r>
      <w:r>
        <w:rPr>
          <w:b w:val="0"/>
          <w:i w:val="0"/>
        </w:rPr>
        <w:t xml:space="preserve"> a zapíše se do </w:t>
      </w:r>
      <w:r>
        <w:rPr>
          <w:b w:val="0"/>
          <w:i w:val="0"/>
          <w:shd w:val="clear" w:color="auto" w:fill="E6E1F5"/>
        </w:rPr>
        <w:t>[záznamů o zpracování osobních údajů, pokud je vedete]</w:t>
      </w:r>
      <w:r>
        <w:rPr>
          <w:b w:val="0"/>
          <w:i w:val="0"/>
        </w:rPr>
        <w:t>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Na aplikaci s osobními údaji platí GDPR stejně jako na koupený software, včetně ohlášení úniku úřadu do 72 hodin. Na tom, že vznikla jako něčí pokus, nezáleží.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7. Kde aplikace běží a kdo ji zveřejní</w:t>
      </w:r>
    </w:p>
    <w:p>
      <w:pPr>
        <w:spacing w:after="80"/>
      </w:pPr>
      <w:r>
        <w:rPr>
          <w:b/>
          <w:i w:val="0"/>
        </w:rPr>
        <w:t xml:space="preserve">7.1 </w:t>
      </w:r>
      <w:r>
        <w:rPr>
          <w:b w:val="0"/>
          <w:i w:val="0"/>
        </w:rPr>
        <w:t xml:space="preserve">Aplikace úrovně 2 a 3 běží jen na místech, která schválil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: </w:t>
      </w:r>
      <w:r>
        <w:rPr>
          <w:b w:val="0"/>
          <w:i w:val="0"/>
          <w:shd w:val="clear" w:color="auto" w:fill="E6E1F5"/>
        </w:rPr>
        <w:t>[například firemní cloudový účet, interní server]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7.2 </w:t>
      </w:r>
      <w:r>
        <w:rPr>
          <w:b w:val="0"/>
          <w:i w:val="0"/>
        </w:rPr>
        <w:t xml:space="preserve">Aplikace nesmí být dostupná z internetu bez přihlášení. Výjimku, třeba veřejný formulář, schvaluje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7.3 </w:t>
      </w:r>
      <w:r>
        <w:rPr>
          <w:b w:val="0"/>
          <w:i w:val="0"/>
        </w:rPr>
        <w:t xml:space="preserve">Zveřejnit aplikaci na internetu nebo ji zpřístupnit lidem mimo firmu smí jen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, ne autor sám.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Nejčastější problém není chyba v kódu, ale aplikace, na kterou se dostane kdokoli, kdo zná odkaz.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8. Přihlášení a přístupy</w:t>
      </w:r>
    </w:p>
    <w:p>
      <w:pPr>
        <w:spacing w:after="80"/>
      </w:pPr>
      <w:r>
        <w:rPr>
          <w:b/>
          <w:i w:val="0"/>
        </w:rPr>
        <w:t xml:space="preserve">8.1 </w:t>
      </w:r>
      <w:r>
        <w:rPr>
          <w:b w:val="0"/>
          <w:i w:val="0"/>
        </w:rPr>
        <w:t xml:space="preserve">Do aplikací úrovně 2 a 3 se lidé přihlašují firemním účtem </w:t>
      </w:r>
      <w:r>
        <w:rPr>
          <w:b w:val="0"/>
          <w:i w:val="0"/>
          <w:shd w:val="clear" w:color="auto" w:fill="E6E1F5"/>
        </w:rPr>
        <w:t>[Google Workspace / Microsoft 365 / jiný]</w:t>
      </w:r>
      <w:r>
        <w:rPr>
          <w:b w:val="0"/>
          <w:i w:val="0"/>
        </w:rPr>
        <w:t>. Sdílená hesla a společné účty se nepoužívají.</w:t>
      </w:r>
    </w:p>
    <w:p>
      <w:pPr>
        <w:spacing w:after="80"/>
      </w:pPr>
      <w:r>
        <w:rPr>
          <w:b/>
          <w:i w:val="0"/>
        </w:rPr>
        <w:t xml:space="preserve">8.2 </w:t>
      </w:r>
      <w:r>
        <w:rPr>
          <w:b w:val="0"/>
          <w:i w:val="0"/>
        </w:rPr>
        <w:t>Přístupy se přidělují podle rolí a jen v rozsahu, který člověk potřebuje. O přístupech rozhoduje vlastník aplikace.</w:t>
      </w:r>
    </w:p>
    <w:p>
      <w:pPr>
        <w:spacing w:after="80"/>
      </w:pPr>
      <w:r>
        <w:rPr>
          <w:b/>
          <w:i w:val="0"/>
        </w:rPr>
        <w:t xml:space="preserve">8.3 </w:t>
      </w:r>
      <w:r>
        <w:rPr>
          <w:b w:val="0"/>
          <w:i w:val="0"/>
        </w:rPr>
        <w:t xml:space="preserve">Když člověk odchází nebo mění pozici, přístupy se mu odeberou </w:t>
      </w:r>
      <w:r>
        <w:rPr>
          <w:b w:val="0"/>
          <w:i w:val="0"/>
          <w:shd w:val="clear" w:color="auto" w:fill="E6E1F5"/>
        </w:rPr>
        <w:t>[v den změny]</w:t>
      </w:r>
      <w:r>
        <w:rPr>
          <w:b w:val="0"/>
          <w:i w:val="0"/>
        </w:rPr>
        <w:t>. U firemního účtu to zajistí jeho zablokování.</w:t>
      </w:r>
    </w:p>
    <w:p>
      <w:pPr>
        <w:spacing w:after="80"/>
      </w:pPr>
      <w:r>
        <w:rPr>
          <w:b/>
          <w:i w:val="0"/>
        </w:rPr>
        <w:t xml:space="preserve">8.4 </w:t>
      </w:r>
      <w:r>
        <w:rPr>
          <w:b w:val="0"/>
          <w:i w:val="0"/>
        </w:rPr>
        <w:t xml:space="preserve">Vlastník aplikace </w:t>
      </w:r>
      <w:r>
        <w:rPr>
          <w:b w:val="0"/>
          <w:i w:val="0"/>
          <w:shd w:val="clear" w:color="auto" w:fill="E6E1F5"/>
        </w:rPr>
        <w:t>[jednou za 6 měsíců]</w:t>
      </w:r>
      <w:r>
        <w:rPr>
          <w:b w:val="0"/>
          <w:i w:val="0"/>
        </w:rPr>
        <w:t xml:space="preserve"> zkontroluje, kdo má přístup, a zbytečné přístupy odebere.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Když člověk odejde, zablokujete jeden firemní účet a přístup končí ve všech aplikacích najednou.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9. Klíče, hesla a přístupové údaje</w:t>
      </w:r>
    </w:p>
    <w:p>
      <w:pPr>
        <w:spacing w:after="80"/>
      </w:pPr>
      <w:r>
        <w:rPr>
          <w:b/>
          <w:i w:val="0"/>
        </w:rPr>
        <w:t xml:space="preserve">9.1 </w:t>
      </w:r>
      <w:r>
        <w:rPr>
          <w:b w:val="0"/>
          <w:i w:val="0"/>
        </w:rPr>
        <w:t>API klíče, hesla k databázím a jiné přístupové údaje nepatří do kódu, do sdílených dokumentů, do chatu ani do zadání pro AI.</w:t>
      </w:r>
    </w:p>
    <w:p>
      <w:pPr>
        <w:spacing w:after="80"/>
      </w:pPr>
      <w:r>
        <w:rPr>
          <w:b/>
          <w:i w:val="0"/>
        </w:rPr>
        <w:t xml:space="preserve">9.2 </w:t>
      </w:r>
      <w:r>
        <w:rPr>
          <w:b w:val="0"/>
          <w:i w:val="0"/>
        </w:rPr>
        <w:t xml:space="preserve">Ukládají se </w:t>
      </w:r>
      <w:r>
        <w:rPr>
          <w:b w:val="0"/>
          <w:i w:val="0"/>
          <w:shd w:val="clear" w:color="auto" w:fill="E6E1F5"/>
        </w:rPr>
        <w:t>[v nastavení prostředí na hostingu / ve správci hesel]</w:t>
      </w:r>
      <w:r>
        <w:rPr>
          <w:b w:val="0"/>
          <w:i w:val="0"/>
        </w:rPr>
        <w:t xml:space="preserve">, kam má přístup jen aplikace a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9.3 </w:t>
      </w:r>
      <w:r>
        <w:rPr>
          <w:b w:val="0"/>
          <w:i w:val="0"/>
        </w:rPr>
        <w:t>Když klíč unikne nebo odejde člověk, který ho znal, klíč se vymění.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Kód se kopíruje, sdílí a posílá do AI nástrojů. Klíč v něm časem uvidí víc lidí, než by měl.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10. Kód a změny</w:t>
      </w:r>
    </w:p>
    <w:p>
      <w:pPr>
        <w:spacing w:after="80"/>
      </w:pPr>
      <w:r>
        <w:rPr>
          <w:b/>
          <w:i w:val="0"/>
        </w:rPr>
        <w:t xml:space="preserve">10.1 </w:t>
      </w:r>
      <w:r>
        <w:rPr>
          <w:b w:val="0"/>
          <w:i w:val="0"/>
        </w:rPr>
        <w:t xml:space="preserve">Kód aplikací úrovně 2 a 3 je ve firemním repozitáři </w:t>
      </w:r>
      <w:r>
        <w:rPr>
          <w:b w:val="0"/>
          <w:i w:val="0"/>
          <w:shd w:val="clear" w:color="auto" w:fill="E6E1F5"/>
        </w:rPr>
        <w:t>[GitHub / GitLab organizace firmy]</w:t>
      </w:r>
      <w:r>
        <w:rPr>
          <w:b w:val="0"/>
          <w:i w:val="0"/>
        </w:rPr>
        <w:t>, ne na soukromém účtu autora.</w:t>
      </w:r>
    </w:p>
    <w:p>
      <w:pPr>
        <w:spacing w:after="80"/>
      </w:pPr>
      <w:r>
        <w:rPr>
          <w:b/>
          <w:i w:val="0"/>
        </w:rPr>
        <w:t xml:space="preserve">10.2 </w:t>
      </w:r>
      <w:r>
        <w:rPr>
          <w:b w:val="0"/>
          <w:i w:val="0"/>
        </w:rPr>
        <w:t>Změny se nejdřív zkoušejí mimo provoz, v testovacím prostředí nebo na testovacích datech.</w:t>
      </w:r>
    </w:p>
    <w:p>
      <w:pPr>
        <w:spacing w:after="80"/>
      </w:pPr>
      <w:r>
        <w:rPr>
          <w:b/>
          <w:i w:val="0"/>
        </w:rPr>
        <w:t xml:space="preserve">10.3 </w:t>
      </w:r>
      <w:r>
        <w:rPr>
          <w:b w:val="0"/>
          <w:i w:val="0"/>
        </w:rPr>
        <w:t xml:space="preserve">U aplikací úrovně 3 každou změnu před nasazením zkontroluje druhý člověk: </w:t>
      </w:r>
      <w:r>
        <w:rPr>
          <w:b w:val="0"/>
          <w:i w:val="0"/>
          <w:shd w:val="clear" w:color="auto" w:fill="E6E1F5"/>
        </w:rPr>
        <w:t>[kdo, například IT nebo externí vývojář]</w:t>
      </w:r>
      <w:r>
        <w:rPr>
          <w:b w:val="0"/>
          <w:i w:val="0"/>
        </w:rPr>
        <w:t xml:space="preserve">. U úrovně 2 </w:t>
      </w:r>
      <w:r>
        <w:rPr>
          <w:b w:val="0"/>
          <w:i w:val="0"/>
          <w:shd w:val="clear" w:color="auto" w:fill="E6E1F5"/>
        </w:rPr>
        <w:t>[stačí autor / také druhý člověk]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10.4 </w:t>
      </w:r>
      <w:r>
        <w:rPr>
          <w:b w:val="0"/>
          <w:i w:val="0"/>
        </w:rPr>
        <w:t>Každé nasazení do provozu má záznam: co se měnilo, kdy a kdo to schválil.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Kód od AI často funguje, ale ne vždy je bezpečný. Druhý pár očí před nasazením je nejlevnější pojistka.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11. Zálohy a obnova</w:t>
      </w:r>
    </w:p>
    <w:p>
      <w:pPr>
        <w:spacing w:after="80"/>
      </w:pPr>
      <w:r>
        <w:rPr>
          <w:b/>
          <w:i w:val="0"/>
        </w:rPr>
        <w:t xml:space="preserve">11.1 </w:t>
      </w:r>
      <w:r>
        <w:rPr>
          <w:b w:val="0"/>
          <w:i w:val="0"/>
        </w:rPr>
        <w:t xml:space="preserve">U aplikací úrovně 2 a 3 vlastník s </w:t>
      </w:r>
      <w:r>
        <w:rPr>
          <w:b w:val="0"/>
          <w:i w:val="0"/>
          <w:shd w:val="clear" w:color="auto" w:fill="E6E1F5"/>
        </w:rPr>
        <w:t>[správcem pravidel]</w:t>
      </w:r>
      <w:r>
        <w:rPr>
          <w:b w:val="0"/>
          <w:i w:val="0"/>
        </w:rPr>
        <w:t xml:space="preserve"> určí, co se zálohuje, jak často a jak rychle musí být data zpátky.</w:t>
      </w:r>
    </w:p>
    <w:p>
      <w:pPr>
        <w:spacing w:after="80"/>
      </w:pPr>
      <w:r>
        <w:rPr>
          <w:b/>
          <w:i w:val="0"/>
        </w:rPr>
        <w:t xml:space="preserve">11.2 </w:t>
      </w:r>
      <w:r>
        <w:rPr>
          <w:b w:val="0"/>
          <w:i w:val="0"/>
        </w:rPr>
        <w:t xml:space="preserve">Obnova ze zálohy se </w:t>
      </w:r>
      <w:r>
        <w:rPr>
          <w:b w:val="0"/>
          <w:i w:val="0"/>
          <w:shd w:val="clear" w:color="auto" w:fill="E6E1F5"/>
        </w:rPr>
        <w:t>[jednou ročně]</w:t>
      </w:r>
      <w:r>
        <w:rPr>
          <w:b w:val="0"/>
          <w:i w:val="0"/>
        </w:rPr>
        <w:t xml:space="preserve"> vyzkouší.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Záloha, kterou nikdo nezkusil obnovit, je jen naděje.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12. Když autor odejde nebo změní pozici</w:t>
      </w:r>
    </w:p>
    <w:p>
      <w:pPr>
        <w:spacing w:after="80"/>
      </w:pPr>
      <w:r>
        <w:rPr>
          <w:b/>
          <w:i w:val="0"/>
        </w:rPr>
        <w:t xml:space="preserve">12.1 </w:t>
      </w:r>
      <w:r>
        <w:rPr>
          <w:b w:val="0"/>
          <w:i w:val="0"/>
        </w:rPr>
        <w:t xml:space="preserve">Každou aplikaci úrovně 2 a 3 zná kromě autora ještě </w:t>
      </w:r>
      <w:r>
        <w:rPr>
          <w:b w:val="0"/>
          <w:i w:val="0"/>
          <w:shd w:val="clear" w:color="auto" w:fill="E6E1F5"/>
        </w:rPr>
        <w:t>[jeden další člověk / dodavatel]</w:t>
      </w:r>
      <w:r>
        <w:rPr>
          <w:b w:val="0"/>
          <w:i w:val="0"/>
        </w:rPr>
        <w:t>: ví, jak funguje, kde běží a kde je kód.</w:t>
      </w:r>
    </w:p>
    <w:p>
      <w:pPr>
        <w:spacing w:after="80"/>
      </w:pPr>
      <w:r>
        <w:rPr>
          <w:b/>
          <w:i w:val="0"/>
        </w:rPr>
        <w:t xml:space="preserve">12.2 </w:t>
      </w:r>
      <w:r>
        <w:rPr>
          <w:b w:val="0"/>
          <w:i w:val="0"/>
        </w:rPr>
        <w:t xml:space="preserve">Autor udržuje krátký popis aplikace: k čemu je, kde běží, kde je kód a data, na co je napojená a jak se nasazuje. Stačí </w:t>
      </w:r>
      <w:r>
        <w:rPr>
          <w:b w:val="0"/>
          <w:i w:val="0"/>
          <w:shd w:val="clear" w:color="auto" w:fill="E6E1F5"/>
        </w:rPr>
        <w:t>[jedna strana, uložená u záznamu v evidenci]</w:t>
      </w:r>
      <w:r>
        <w:rPr>
          <w:b w:val="0"/>
          <w:i w:val="0"/>
        </w:rPr>
        <w:t>.</w:t>
      </w:r>
    </w:p>
    <w:p>
      <w:pPr>
        <w:spacing w:after="80"/>
      </w:pPr>
      <w:r>
        <w:rPr>
          <w:b/>
          <w:i w:val="0"/>
        </w:rPr>
        <w:t xml:space="preserve">12.3 </w:t>
      </w:r>
      <w:r>
        <w:rPr>
          <w:b w:val="0"/>
          <w:i w:val="0"/>
        </w:rPr>
        <w:t>Před odchodem autor aplikaci předá. Účty, klíče a repozitář převede na firmu, pokud už na ní nejsou.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Aplikace postavená s AI často stojí na jednom člověku. Když odejde, nikdo neví, kde běží ani jak se do ní dostávají změny.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13. Incidenty</w:t>
      </w:r>
    </w:p>
    <w:p>
      <w:pPr>
        <w:spacing w:after="80"/>
      </w:pPr>
      <w:r>
        <w:rPr>
          <w:b/>
          <w:i w:val="0"/>
        </w:rPr>
        <w:t xml:space="preserve">13.1 </w:t>
      </w:r>
      <w:r>
        <w:rPr>
          <w:b w:val="0"/>
          <w:i w:val="0"/>
        </w:rPr>
        <w:t xml:space="preserve">Kdo zjistí, že aplikace vyzradila data, je dostupná někomu, komu nemá, nebo se v ní děje něco podezřelého, nahlásí to hned na </w:t>
      </w:r>
      <w:r>
        <w:rPr>
          <w:b w:val="0"/>
          <w:i w:val="0"/>
          <w:shd w:val="clear" w:color="auto" w:fill="E6E1F5"/>
        </w:rPr>
        <w:t>[e-mail, telefon]</w:t>
      </w:r>
      <w:r>
        <w:rPr>
          <w:b w:val="0"/>
          <w:i w:val="0"/>
        </w:rPr>
        <w:t xml:space="preserve"> a nečeká, až to vyřeší sám.</w:t>
      </w:r>
    </w:p>
    <w:p>
      <w:pPr>
        <w:spacing w:after="80"/>
      </w:pPr>
      <w:r>
        <w:rPr>
          <w:b/>
          <w:i w:val="0"/>
        </w:rPr>
        <w:t xml:space="preserve">13.2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 rozhodne o dalším postupu, včetně dočasného vypnutí aplikace.</w:t>
      </w:r>
    </w:p>
    <w:p>
      <w:pPr>
        <w:spacing w:after="80"/>
      </w:pPr>
      <w:r>
        <w:rPr>
          <w:b/>
          <w:i w:val="0"/>
        </w:rPr>
        <w:t xml:space="preserve">13.3 </w:t>
      </w:r>
      <w:r>
        <w:rPr>
          <w:b w:val="0"/>
          <w:i w:val="0"/>
        </w:rPr>
        <w:t xml:space="preserve">Jde-li o únik osobních údajů, </w:t>
      </w:r>
      <w:r>
        <w:rPr>
          <w:b w:val="0"/>
          <w:i w:val="0"/>
          <w:shd w:val="clear" w:color="auto" w:fill="E6E1F5"/>
        </w:rPr>
        <w:t>[odpovědná osoba]</w:t>
      </w:r>
      <w:r>
        <w:rPr>
          <w:b w:val="0"/>
          <w:i w:val="0"/>
        </w:rPr>
        <w:t xml:space="preserve"> posoudí, jestli se hlásí Úřadu pro ochranu osobních údajů. GDPR na ohlášení dává 72 hodin od zjištění.</w:t>
      </w:r>
    </w:p>
    <w:p>
      <w:pPr>
        <w:spacing w:after="80"/>
      </w:pPr>
      <w:r>
        <w:rPr>
          <w:b/>
          <w:i w:val="0"/>
        </w:rPr>
        <w:t xml:space="preserve">13.4 </w:t>
      </w:r>
      <w:r>
        <w:rPr>
          <w:b w:val="0"/>
          <w:i w:val="0"/>
          <w:shd w:val="clear" w:color="auto" w:fill="E6E1F5"/>
        </w:rPr>
        <w:t>[Pokud firma spadá pod zákon č. 264/2025 Sb.: kybernetický bezpečnostní incident s významným dopadem se hlásí nejpozději do 24 hodin od zjištění.]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Lhůty běží od zjištění, ne od chvíle, kdy se to dozví správný člověk. Proto jedno místo pro hlášení.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14. Kdy se aplikace vypíná</w:t>
      </w:r>
    </w:p>
    <w:p>
      <w:pPr>
        <w:spacing w:after="120" w:before="0"/>
      </w:pPr>
      <w:r>
        <w:rPr>
          <w:b w:val="0"/>
          <w:i w:val="0"/>
        </w:rPr>
        <w:t xml:space="preserve">Aplikace se vypne </w:t>
      </w:r>
      <w:r>
        <w:rPr>
          <w:b w:val="0"/>
          <w:i w:val="0"/>
          <w:shd w:val="clear" w:color="auto" w:fill="E6E1F5"/>
        </w:rPr>
        <w:t>[a data se archivují, nebo smažou]</w:t>
      </w:r>
      <w:r>
        <w:rPr>
          <w:b w:val="0"/>
          <w:i w:val="0"/>
        </w:rPr>
        <w:t>, když:</w:t>
      </w:r>
    </w:p>
    <w:p>
      <w:pPr>
        <w:pStyle w:val="ListBullet"/>
        <w:spacing w:after="60"/>
      </w:pPr>
      <w:r>
        <w:rPr>
          <w:b w:val="0"/>
          <w:i w:val="0"/>
        </w:rPr>
        <w:t xml:space="preserve">nemá vlastníka a nikdo ji do </w:t>
      </w:r>
      <w:r>
        <w:rPr>
          <w:b w:val="0"/>
          <w:i w:val="0"/>
          <w:shd w:val="clear" w:color="auto" w:fill="E6E1F5"/>
        </w:rPr>
        <w:t>[30 dnů]</w:t>
      </w:r>
      <w:r>
        <w:rPr>
          <w:b w:val="0"/>
          <w:i w:val="0"/>
        </w:rPr>
        <w:t xml:space="preserve"> nepřevezme,</w:t>
      </w:r>
    </w:p>
    <w:p>
      <w:pPr>
        <w:pStyle w:val="ListBullet"/>
        <w:spacing w:after="60"/>
      </w:pPr>
      <w:r>
        <w:rPr>
          <w:b w:val="0"/>
          <w:i w:val="0"/>
        </w:rPr>
        <w:t xml:space="preserve">ji </w:t>
      </w:r>
      <w:r>
        <w:rPr>
          <w:b w:val="0"/>
          <w:i w:val="0"/>
          <w:shd w:val="clear" w:color="auto" w:fill="E6E1F5"/>
        </w:rPr>
        <w:t>[3 měsíce]</w:t>
      </w:r>
      <w:r>
        <w:rPr>
          <w:b w:val="0"/>
          <w:i w:val="0"/>
        </w:rPr>
        <w:t xml:space="preserve"> nikdo nepoužívá,</w:t>
      </w:r>
    </w:p>
    <w:p>
      <w:pPr>
        <w:pStyle w:val="ListBullet"/>
        <w:spacing w:after="60"/>
      </w:pPr>
      <w:r>
        <w:rPr>
          <w:b w:val="0"/>
          <w:i w:val="0"/>
        </w:rPr>
        <w:t>nesplní pravidla své úrovně ani v dohodnutém termínu,</w:t>
      </w:r>
    </w:p>
    <w:p>
      <w:pPr>
        <w:pStyle w:val="ListBullet"/>
        <w:spacing w:after="60"/>
      </w:pPr>
      <w:r>
        <w:rPr>
          <w:b w:val="0"/>
          <w:i w:val="0"/>
        </w:rPr>
        <w:t xml:space="preserve">o tom při incidentu rozhodne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>.</w:t>
      </w:r>
    </w:p>
    <w:p>
      <w:pPr>
        <w:spacing w:after="120" w:before="0"/>
      </w:pPr>
      <w:r>
        <w:rPr>
          <w:b w:val="0"/>
          <w:i w:val="0"/>
        </w:rPr>
        <w:t>Před vypnutím vlastník rozhodne, co bude s daty.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Aplikace, kterou nikdo nepoužívá, pořád drží data a má otevřené dveře.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15. Evidence a pravidelná kontrola</w:t>
      </w:r>
    </w:p>
    <w:p>
      <w:pPr>
        <w:spacing w:after="80"/>
      </w:pPr>
      <w:r>
        <w:rPr>
          <w:b/>
          <w:i w:val="0"/>
        </w:rPr>
        <w:t xml:space="preserve">15.1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 vede evidenci aplikací úrovně 2 a 3. Vzor tabulky je v příloze B.</w:t>
      </w:r>
    </w:p>
    <w:p>
      <w:pPr>
        <w:spacing w:after="80"/>
      </w:pPr>
      <w:r>
        <w:rPr>
          <w:b/>
          <w:i w:val="0"/>
        </w:rPr>
        <w:t xml:space="preserve">15.2 </w:t>
      </w:r>
      <w:r>
        <w:rPr>
          <w:b w:val="0"/>
          <w:i w:val="0"/>
        </w:rPr>
        <w:t>Autor zapíše novou aplikaci do evidence dřív, než ji začnou používat další lidé.</w:t>
      </w:r>
    </w:p>
    <w:p>
      <w:pPr>
        <w:spacing w:after="80"/>
      </w:pPr>
      <w:r>
        <w:rPr>
          <w:b/>
          <w:i w:val="0"/>
        </w:rPr>
        <w:t xml:space="preserve">15.3 </w:t>
      </w:r>
      <w:r>
        <w:rPr>
          <w:b w:val="0"/>
          <w:i w:val="0"/>
          <w:shd w:val="clear" w:color="auto" w:fill="E6E1F5"/>
        </w:rPr>
        <w:t>[Jednou za čtvrtletí]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 s vlastníky projde evidenci: co se používá, co přerostlo svou úroveň a co vypnout.</w:t>
      </w:r>
    </w:p>
    <w:p>
      <w:pPr>
        <w:spacing w:after="80"/>
      </w:pPr>
      <w:r>
        <w:rPr>
          <w:b/>
          <w:i w:val="0"/>
        </w:rPr>
        <w:t xml:space="preserve">15.4 </w:t>
      </w:r>
      <w:r>
        <w:rPr>
          <w:b w:val="0"/>
          <w:i w:val="0"/>
        </w:rPr>
        <w:t xml:space="preserve">Pravidla se aktualizují </w:t>
      </w:r>
      <w:r>
        <w:rPr>
          <w:b w:val="0"/>
          <w:i w:val="0"/>
          <w:shd w:val="clear" w:color="auto" w:fill="E6E1F5"/>
        </w:rPr>
        <w:t>[jednou ročně]</w:t>
      </w:r>
      <w:r>
        <w:rPr>
          <w:b w:val="0"/>
          <w:i w:val="0"/>
        </w:rPr>
        <w:t xml:space="preserve"> a při větší změně nástrojů.</w:t>
      </w:r>
    </w:p>
    <w:p>
      <w:pPr>
        <w:spacing w:after="120" w:before="80"/>
      </w:pPr>
      <w:r>
        <w:rPr>
          <w:b/>
          <w:i/>
          <w:color w:val="4A4C52"/>
          <w:sz w:val="19"/>
        </w:rPr>
        <w:t xml:space="preserve">Proč: </w:t>
      </w:r>
      <w:r>
        <w:rPr>
          <w:b w:val="0"/>
          <w:i/>
          <w:color w:val="4A4C52"/>
          <w:sz w:val="19"/>
        </w:rPr>
        <w:t>Co není v evidenci, nemá kdo spravovat.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16. Výjimky</w:t>
      </w:r>
    </w:p>
    <w:p>
      <w:pPr>
        <w:spacing w:after="120" w:before="0"/>
      </w:pPr>
      <w:r>
        <w:rPr>
          <w:b w:val="0"/>
          <w:i w:val="0"/>
        </w:rPr>
        <w:t xml:space="preserve">Výjimku z těchto pravidel schvaluje </w:t>
      </w:r>
      <w:r>
        <w:rPr>
          <w:b w:val="0"/>
          <w:i w:val="0"/>
          <w:shd w:val="clear" w:color="auto" w:fill="E6E1F5"/>
        </w:rPr>
        <w:t>[správce pravidel]</w:t>
      </w:r>
      <w:r>
        <w:rPr>
          <w:b w:val="0"/>
          <w:i w:val="0"/>
        </w:rPr>
        <w:t xml:space="preserve"> písemně, s důvodem a dobou platnosti. Výjimka se zapisuje do evidence.</w:t>
      </w:r>
    </w:p>
    <w:p>
      <w:pPr>
        <w:pStyle w:val="Heading2"/>
        <w:keepNext/>
        <w:spacing w:before="280" w:after="120"/>
      </w:pPr>
      <w:r>
        <w:rPr>
          <w:rFonts w:ascii="Arial" w:hAnsi="Arial"/>
          <w:b/>
          <w:color w:val="17181A"/>
          <w:sz w:val="26"/>
        </w:rPr>
        <w:t>17. Vazba na předpisy (pro informaci)</w:t>
      </w:r>
    </w:p>
    <w:p>
      <w:pPr>
        <w:pStyle w:val="ListBullet"/>
        <w:spacing w:after="60"/>
      </w:pPr>
      <w:r>
        <w:rPr>
          <w:b w:val="0"/>
          <w:i w:val="0"/>
        </w:rPr>
        <w:t>Na aplikace s osobními údaji se vztahuje GDPR stejně jako na koupený software, včetně ohlášení porušení zabezpečení úřadu do 72 hodin.</w:t>
      </w:r>
    </w:p>
    <w:p>
      <w:pPr>
        <w:pStyle w:val="ListBullet"/>
        <w:spacing w:after="60"/>
      </w:pPr>
      <w:r>
        <w:rPr>
          <w:b w:val="0"/>
          <w:i w:val="0"/>
        </w:rPr>
        <w:t>Pokud firma spadá pod zákon č. 264/2025 Sb. o kybernetické bezpečnosti, musí i v nižším režimu stanovit bezpečnostní požadavky pro vývoj a údržbu svých systémů (vyhláška č. 410/2025 Sb., § 3). Aplikace, které si lidé staví, jsou takový vývoj a tato pravidla mohou být součástí těchto požadavků.</w:t>
      </w:r>
    </w:p>
    <w:p>
      <w:pPr>
        <w:pStyle w:val="ListBullet"/>
        <w:spacing w:after="60"/>
      </w:pPr>
      <w:r>
        <w:rPr>
          <w:b w:val="0"/>
          <w:i w:val="0"/>
        </w:rPr>
        <w:t>Jestli a jak na vás předpisy dopadají, posuďte s právníkem.</w:t>
      </w:r>
    </w:p>
    <w:p>
      <w:r>
        <w:br w:type="page"/>
      </w:r>
    </w:p>
    <w:p>
      <w:pPr>
        <w:pStyle w:val="Heading2"/>
        <w:keepNext/>
        <w:spacing w:before="0" w:after="120"/>
      </w:pPr>
      <w:r>
        <w:rPr>
          <w:rFonts w:ascii="Arial" w:hAnsi="Arial"/>
          <w:b/>
          <w:color w:val="17181A"/>
          <w:sz w:val="30"/>
        </w:rPr>
        <w:t>Příloha A: Otázky pro autora aplikace</w:t>
      </w:r>
    </w:p>
    <w:p>
      <w:pPr>
        <w:spacing w:after="200" w:before="0"/>
      </w:pPr>
      <w:r>
        <w:rPr>
          <w:b w:val="0"/>
          <w:i w:val="0"/>
          <w:color w:val="4A4C52"/>
        </w:rPr>
        <w:t>Pomůžou při inventuře i při zápisu nové aplikace do evidence. Ptejte se bez hledání viníků: kdo o své aplikaci řekne, pomáhá.</w:t>
      </w:r>
    </w:p>
    <w:p>
      <w:pPr>
        <w:keepNext/>
        <w:spacing w:after="80"/>
      </w:pPr>
      <w:r>
        <w:rPr>
          <w:b/>
          <w:i w:val="0"/>
        </w:rPr>
        <w:t xml:space="preserve">1. </w:t>
      </w:r>
      <w:r>
        <w:rPr>
          <w:b w:val="0"/>
          <w:i w:val="0"/>
        </w:rPr>
        <w:t>K čemu aplikace slouží a kolik lidí ji používá? Používají ji i lidé mimo firmu?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2. </w:t>
      </w:r>
      <w:r>
        <w:rPr>
          <w:b w:val="0"/>
          <w:i w:val="0"/>
        </w:rPr>
        <w:t>Jaká data v ní jsou? Osobní údaje, data zákazníků, finanční data?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3. </w:t>
      </w:r>
      <w:r>
        <w:rPr>
          <w:b w:val="0"/>
          <w:i w:val="0"/>
        </w:rPr>
        <w:t>Kde běží a na jaké adrese? Dostane se na ni někdo bez přihlášení?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4. </w:t>
      </w:r>
      <w:r>
        <w:rPr>
          <w:b w:val="0"/>
          <w:i w:val="0"/>
        </w:rPr>
        <w:t>Jak se do ní lidé přihlašují? Kdo přidává a odebírá přístupy?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5. </w:t>
      </w:r>
      <w:r>
        <w:rPr>
          <w:b w:val="0"/>
          <w:i w:val="0"/>
        </w:rPr>
        <w:t>V čem jste ji postavili a na čí účet ty služby běží? Kdo je platí?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6. </w:t>
      </w:r>
      <w:r>
        <w:rPr>
          <w:b w:val="0"/>
          <w:i w:val="0"/>
        </w:rPr>
        <w:t>Kde je kód? Umí ho upravit ještě někdo jiný?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7. </w:t>
      </w:r>
      <w:r>
        <w:rPr>
          <w:b w:val="0"/>
          <w:i w:val="0"/>
        </w:rPr>
        <w:t>Kde jsou uložená data a zálohují se?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8. </w:t>
      </w:r>
      <w:r>
        <w:rPr>
          <w:b w:val="0"/>
          <w:i w:val="0"/>
        </w:rPr>
        <w:t>Na jaké jiné systémy je napojená a jaké klíče nebo hesla k tomu používá?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9. </w:t>
      </w:r>
      <w:r>
        <w:rPr>
          <w:b w:val="0"/>
          <w:i w:val="0"/>
        </w:rPr>
        <w:t>Co se stane, když zítra přestane fungovat?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keepNext/>
        <w:spacing w:after="80"/>
      </w:pPr>
      <w:r>
        <w:rPr>
          <w:b/>
          <w:i w:val="0"/>
        </w:rPr>
        <w:t xml:space="preserve">10. </w:t>
      </w:r>
      <w:r>
        <w:rPr>
          <w:b w:val="0"/>
          <w:i w:val="0"/>
        </w:rPr>
        <w:t>Co by potřeboval někdo jiný, aby se o ni mohl postarat?</w:t>
      </w:r>
    </w:p>
    <w:p>
      <w:pPr>
        <w:spacing w:after="200"/>
      </w:pPr>
      <w:r>
        <w:rPr>
          <w:color w:val="C9C8C4"/>
          <w:sz w:val="18"/>
        </w:rPr>
        <w:t>______________________________________________________________________________</w:t>
      </w:r>
    </w:p>
    <w:p>
      <w:pPr>
        <w:sectPr>
          <w:footerReference w:type="default" r:id="rId9"/>
          <w:pgSz w:w="11906" w:h="16838"/>
          <w:pgMar w:top="1134" w:right="1247" w:bottom="1134" w:left="1247" w:header="720" w:footer="720" w:gutter="0"/>
          <w:cols w:space="720"/>
          <w:docGrid w:linePitch="360"/>
        </w:sectPr>
      </w:pPr>
    </w:p>
    <w:p>
      <w:pPr>
        <w:pStyle w:val="Heading2"/>
        <w:keepNext/>
        <w:spacing w:before="0" w:after="120"/>
      </w:pPr>
      <w:r>
        <w:rPr>
          <w:rFonts w:ascii="Arial" w:hAnsi="Arial"/>
          <w:b/>
          <w:color w:val="17181A"/>
          <w:sz w:val="30"/>
        </w:rPr>
        <w:t>Příloha B: Evidence aplikací</w:t>
      </w:r>
    </w:p>
    <w:p>
      <w:pPr>
        <w:spacing w:after="160" w:before="0"/>
      </w:pPr>
      <w:r>
        <w:rPr>
          <w:b w:val="0"/>
          <w:i w:val="0"/>
          <w:color w:val="4A4C52"/>
        </w:rPr>
        <w:t>Jeden řádek na aplikaci úrovně 2 a 3. Šedý řádek je vyplněný příklad, před použitím ho smažte.</w:t>
      </w:r>
    </w:p>
    <w:tbl>
      <w:tblPr>
        <w:tblW w:type="dxa" w:w="15138"/>
        <w:tblLook w:firstColumn="1" w:firstRow="1" w:lastColumn="0" w:lastRow="0" w:noHBand="0" w:noVBand="1" w:val="04A0"/>
        <w:tblBorders>
          <w:top w:val="single" w:sz="4" w:space="0" w:color="C9C8C4"/>
          <w:left w:val="single" w:sz="4" w:space="0" w:color="C9C8C4"/>
          <w:bottom w:val="single" w:sz="4" w:space="0" w:color="C9C8C4"/>
          <w:right w:val="single" w:sz="4" w:space="0" w:color="C9C8C4"/>
          <w:insideH w:val="single" w:sz="4" w:space="0" w:color="C9C8C4"/>
          <w:insideV w:val="single" w:sz="4" w:space="0" w:color="C9C8C4"/>
        </w:tblBorders>
        <w:tblLayout w:type="fixed"/>
        <w:tblCellMar>
          <w:top w:w="50" w:type="dxa"/>
          <w:left w:w="60" w:type="dxa"/>
          <w:bottom w:w="50" w:type="dxa"/>
          <w:right w:w="60" w:type="dxa"/>
        </w:tblCellMar>
        <w:tblLayout w:type="fixed"/>
      </w:tblPr>
      <w:tblGrid>
        <w:gridCol w:w="1871"/>
        <w:gridCol w:w="737"/>
        <w:gridCol w:w="1191"/>
        <w:gridCol w:w="1304"/>
        <w:gridCol w:w="1304"/>
        <w:gridCol w:w="1531"/>
        <w:gridCol w:w="1531"/>
        <w:gridCol w:w="1191"/>
        <w:gridCol w:w="1531"/>
        <w:gridCol w:w="1304"/>
        <w:gridCol w:w="1644"/>
      </w:tblGrid>
      <w:tr>
        <w:trPr>
          <w:tblHeader w:val="true"/>
        </w:trPr>
        <w:tc>
          <w:tcPr>
            <w:tcW w:type="dxa" w:w="187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Aplikace a účel</w:t>
            </w:r>
          </w:p>
        </w:tc>
        <w:tc>
          <w:tcPr>
            <w:tcW w:type="dxa" w:w="737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Úroveň</w:t>
            </w:r>
          </w:p>
        </w:tc>
        <w:tc>
          <w:tcPr>
            <w:tcW w:type="dxa" w:w="119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Vlastník</w:t>
            </w:r>
          </w:p>
        </w:tc>
        <w:tc>
          <w:tcPr>
            <w:tcW w:type="dxa" w:w="1304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Autor a nástroj</w:t>
            </w:r>
          </w:p>
        </w:tc>
        <w:tc>
          <w:tcPr>
            <w:tcW w:type="dxa" w:w="1304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Uživatelé</w:t>
            </w:r>
          </w:p>
        </w:tc>
        <w:tc>
          <w:tcPr>
            <w:tcW w:type="dxa" w:w="153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Data</w:t>
            </w:r>
          </w:p>
        </w:tc>
        <w:tc>
          <w:tcPr>
            <w:tcW w:type="dxa" w:w="153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Kde běží</w:t>
            </w:r>
          </w:p>
        </w:tc>
        <w:tc>
          <w:tcPr>
            <w:tcW w:type="dxa" w:w="119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Přihlášení</w:t>
            </w:r>
          </w:p>
        </w:tc>
        <w:tc>
          <w:tcPr>
            <w:tcW w:type="dxa" w:w="1531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Kód a klíče</w:t>
            </w:r>
          </w:p>
        </w:tc>
        <w:tc>
          <w:tcPr>
            <w:tcW w:type="dxa" w:w="1304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Napojení</w:t>
            </w:r>
          </w:p>
        </w:tc>
        <w:tc>
          <w:tcPr>
            <w:tcW w:type="dxa" w:w="1644"/>
            <w:shd w:val="clear" w:color="auto" w:fill="F2F1EE"/>
          </w:tcPr>
          <w:p>
            <w:pPr>
              <w:spacing w:after="0" w:line="240" w:lineRule="auto"/>
            </w:pPr>
            <w:r>
              <w:rPr>
                <w:b/>
                <w:i w:val="0"/>
                <w:sz w:val="16"/>
              </w:rPr>
              <w:t>Rozhodnutí a termín</w:t>
            </w:r>
          </w:p>
        </w:tc>
      </w:tr>
      <w:tr>
        <w:tc>
          <w:tcPr>
            <w:tcW w:type="dxa" w:w="187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Schvalování dovolených: žádosti a schválení vedoucím</w:t>
            </w:r>
          </w:p>
        </w:tc>
        <w:tc>
          <w:tcPr>
            <w:tcW w:type="dxa" w:w="737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2</w:t>
            </w:r>
          </w:p>
        </w:tc>
        <w:tc>
          <w:tcPr>
            <w:tcW w:type="dxa" w:w="119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Vedoucí HR</w:t>
            </w:r>
          </w:p>
        </w:tc>
        <w:tc>
          <w:tcPr>
            <w:tcW w:type="dxa" w:w="1304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  <w:shd w:val="clear" w:color="auto" w:fill="E6E1F5"/>
              </w:rPr>
              <w:t>[Jméno]</w:t>
            </w:r>
            <w:r>
              <w:rPr>
                <w:b w:val="0"/>
                <w:i/>
                <w:color w:val="7A7C82"/>
                <w:sz w:val="16"/>
              </w:rPr>
              <w:t>, Lovable</w:t>
            </w:r>
          </w:p>
        </w:tc>
        <w:tc>
          <w:tcPr>
            <w:tcW w:type="dxa" w:w="1304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Cca 40 zaměstnanců, nikdo zvenku</w:t>
            </w:r>
          </w:p>
        </w:tc>
        <w:tc>
          <w:tcPr>
            <w:tcW w:type="dxa" w:w="153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Jména, e-maily, termíny dovolených</w:t>
            </w:r>
          </w:p>
        </w:tc>
        <w:tc>
          <w:tcPr>
            <w:tcW w:type="dxa" w:w="153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  <w:shd w:val="clear" w:color="auto" w:fill="E6E1F5"/>
              </w:rPr>
              <w:t>[adresa]</w:t>
            </w:r>
            <w:r>
              <w:rPr>
                <w:b w:val="0"/>
                <w:i/>
                <w:color w:val="7A7C82"/>
                <w:sz w:val="16"/>
              </w:rPr>
              <w:t xml:space="preserve">, firemní účet u </w:t>
            </w:r>
            <w:r>
              <w:rPr>
                <w:b w:val="0"/>
                <w:i/>
                <w:color w:val="7A7C82"/>
                <w:sz w:val="16"/>
                <w:shd w:val="clear" w:color="auto" w:fill="E6E1F5"/>
              </w:rPr>
              <w:t>[služba]</w:t>
            </w:r>
          </w:p>
        </w:tc>
        <w:tc>
          <w:tcPr>
            <w:tcW w:type="dxa" w:w="119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Firemní účet</w:t>
            </w:r>
          </w:p>
        </w:tc>
        <w:tc>
          <w:tcPr>
            <w:tcW w:type="dxa" w:w="1531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Repozitář firmy, klíče v nastavení hostingu</w:t>
            </w:r>
          </w:p>
        </w:tc>
        <w:tc>
          <w:tcPr>
            <w:tcW w:type="dxa" w:w="1304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>Kalendář, e-mail</w:t>
            </w:r>
          </w:p>
        </w:tc>
        <w:tc>
          <w:tcPr>
            <w:tcW w:type="dxa" w:w="1644"/>
            <w:shd w:val="clear" w:color="auto" w:fill="F7F7F5"/>
          </w:tcPr>
          <w:p>
            <w:pPr>
              <w:spacing w:after="0" w:line="240" w:lineRule="auto"/>
            </w:pPr>
            <w:r>
              <w:rPr>
                <w:b w:val="0"/>
                <w:i/>
                <w:color w:val="7A7C82"/>
                <w:sz w:val="16"/>
              </w:rPr>
              <w:t xml:space="preserve">Ponechat, doplnit zástupce do </w:t>
            </w:r>
            <w:r>
              <w:rPr>
                <w:b w:val="0"/>
                <w:i/>
                <w:color w:val="7A7C82"/>
                <w:sz w:val="16"/>
                <w:shd w:val="clear" w:color="auto" w:fill="E6E1F5"/>
              </w:rPr>
              <w:t>[datum]</w:t>
            </w: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  <w:tr>
        <w:trPr>
          <w:trHeight w:val="680"/>
        </w:trPr>
        <w:tc>
          <w:tcPr>
            <w:tcW w:type="dxa" w:w="1871"/>
          </w:tcPr>
          <w:p>
            <w:pPr>
              <w:spacing w:after="0"/>
            </w:pPr>
          </w:p>
        </w:tc>
        <w:tc>
          <w:tcPr>
            <w:tcW w:type="dxa" w:w="737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191"/>
          </w:tcPr>
          <w:p>
            <w:pPr>
              <w:spacing w:after="0"/>
            </w:pPr>
          </w:p>
        </w:tc>
        <w:tc>
          <w:tcPr>
            <w:tcW w:type="dxa" w:w="1531"/>
          </w:tcPr>
          <w:p>
            <w:pPr>
              <w:spacing w:after="0"/>
            </w:pPr>
          </w:p>
        </w:tc>
        <w:tc>
          <w:tcPr>
            <w:tcW w:type="dxa" w:w="1304"/>
          </w:tcPr>
          <w:p>
            <w:pPr>
              <w:spacing w:after="0"/>
            </w:pPr>
          </w:p>
        </w:tc>
        <w:tc>
          <w:tcPr>
            <w:tcW w:type="dxa" w:w="1644"/>
          </w:tcPr>
          <w:p>
            <w:pPr>
              <w:spacing w:after="0"/>
            </w:pPr>
          </w:p>
        </w:tc>
      </w:tr>
    </w:tbl>
    <w:sectPr w:rsidR="00FC693F" w:rsidRPr="0006063C" w:rsidSect="00034616">
      <w:footerReference w:type="default" r:id="rId10"/>
      <w:pgSz w:w="16838" w:h="11906" w:orient="landscape"/>
      <w:pgMar w:top="907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A7C82"/>
        <w:sz w:val="16"/>
      </w:rPr>
      <w:t>Vzor připravil Contember, contember.com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A7C82"/>
        <w:sz w:val="16"/>
      </w:rPr>
      <w:t>Vzor připravil Contember, contember.com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cs="Arial" w:eastAsia="Arial"/>
      <w:color w:val="1718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i w:val="0"/>
      <w:color w:val="17181A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i w:val="0"/>
      <w:color w:val="1718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Pravidla pro aplikace, které si lidé ve firmě staví s AI</dc:title>
  <dc:subject/>
  <dc:creator>Contember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